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0233B9" w:rsidRDefault="00877B49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0233B9">
        <w:rPr>
          <w:b/>
          <w:color w:val="006600"/>
          <w:sz w:val="36"/>
          <w:szCs w:val="36"/>
          <w:lang w:val="fr-FR"/>
        </w:rPr>
        <w:t xml:space="preserve">Règlement </w:t>
      </w:r>
      <w:r w:rsidR="004F0C24" w:rsidRPr="000233B9">
        <w:rPr>
          <w:b/>
          <w:color w:val="006600"/>
          <w:sz w:val="36"/>
          <w:szCs w:val="36"/>
          <w:lang w:val="fr-FR"/>
        </w:rPr>
        <w:t xml:space="preserve">Bois </w:t>
      </w:r>
      <w:r w:rsidRPr="000233B9">
        <w:rPr>
          <w:b/>
          <w:color w:val="006600"/>
          <w:sz w:val="36"/>
          <w:szCs w:val="36"/>
          <w:lang w:val="fr-FR"/>
        </w:rPr>
        <w:t>de l’UE</w:t>
      </w:r>
      <w:r w:rsidR="004F0C24" w:rsidRPr="000233B9">
        <w:rPr>
          <w:b/>
          <w:color w:val="006600"/>
          <w:sz w:val="36"/>
          <w:szCs w:val="36"/>
          <w:lang w:val="fr-FR"/>
        </w:rPr>
        <w:t xml:space="preserve"> </w:t>
      </w:r>
      <w:r w:rsidRPr="000233B9">
        <w:rPr>
          <w:b/>
          <w:color w:val="006600"/>
          <w:sz w:val="36"/>
          <w:szCs w:val="36"/>
          <w:lang w:val="fr-FR"/>
        </w:rPr>
        <w:t xml:space="preserve">– Formation des formateurs </w:t>
      </w:r>
    </w:p>
    <w:p w:rsidR="00DC5EFE" w:rsidRPr="000233B9" w:rsidRDefault="00DC5EFE">
      <w:pPr>
        <w:rPr>
          <w:b/>
          <w:color w:val="006600"/>
          <w:sz w:val="28"/>
          <w:szCs w:val="28"/>
          <w:lang w:val="fr-FR"/>
        </w:rPr>
      </w:pPr>
      <w:r w:rsidRPr="000233B9">
        <w:rPr>
          <w:b/>
          <w:color w:val="006600"/>
          <w:sz w:val="28"/>
          <w:szCs w:val="28"/>
          <w:lang w:val="fr-FR"/>
        </w:rPr>
        <w:t>Activit</w:t>
      </w:r>
      <w:r w:rsidR="00877B49" w:rsidRPr="000233B9">
        <w:rPr>
          <w:b/>
          <w:color w:val="006600"/>
          <w:sz w:val="28"/>
          <w:szCs w:val="28"/>
          <w:lang w:val="fr-FR"/>
        </w:rPr>
        <w:t xml:space="preserve">é 2 – Règlement </w:t>
      </w:r>
      <w:r w:rsidR="004F0C24" w:rsidRPr="000233B9">
        <w:rPr>
          <w:b/>
          <w:color w:val="006600"/>
          <w:sz w:val="28"/>
          <w:szCs w:val="28"/>
          <w:lang w:val="fr-FR"/>
        </w:rPr>
        <w:t xml:space="preserve">Bois </w:t>
      </w:r>
      <w:r w:rsidR="00877B49" w:rsidRPr="000233B9">
        <w:rPr>
          <w:b/>
          <w:color w:val="006600"/>
          <w:sz w:val="28"/>
          <w:szCs w:val="28"/>
          <w:lang w:val="fr-FR"/>
        </w:rPr>
        <w:t>de l’UE</w:t>
      </w:r>
      <w:r w:rsidR="004F0C24" w:rsidRPr="000233B9">
        <w:rPr>
          <w:b/>
          <w:color w:val="006600"/>
          <w:sz w:val="28"/>
          <w:szCs w:val="28"/>
          <w:lang w:val="fr-FR"/>
        </w:rPr>
        <w:t xml:space="preserve"> </w:t>
      </w:r>
      <w:r w:rsidR="00877B49" w:rsidRPr="000233B9">
        <w:rPr>
          <w:b/>
          <w:color w:val="006600"/>
          <w:sz w:val="28"/>
          <w:szCs w:val="28"/>
          <w:lang w:val="fr-FR"/>
        </w:rPr>
        <w:t>– vrai ou faux ?</w:t>
      </w:r>
    </w:p>
    <w:p w:rsidR="00496F75" w:rsidRPr="000233B9" w:rsidRDefault="00877B49" w:rsidP="00496F75">
      <w:pPr>
        <w:rPr>
          <w:b/>
          <w:sz w:val="24"/>
          <w:szCs w:val="24"/>
          <w:lang w:val="fr-FR"/>
        </w:rPr>
      </w:pPr>
      <w:r w:rsidRPr="000233B9">
        <w:rPr>
          <w:lang w:val="fr-FR"/>
        </w:rPr>
        <w:t>Cet</w:t>
      </w:r>
      <w:r w:rsidR="00496F75" w:rsidRPr="000233B9">
        <w:rPr>
          <w:lang w:val="fr-FR"/>
        </w:rPr>
        <w:t xml:space="preserve"> exerci</w:t>
      </w:r>
      <w:r w:rsidRPr="000233B9">
        <w:rPr>
          <w:lang w:val="fr-FR"/>
        </w:rPr>
        <w:t>c</w:t>
      </w:r>
      <w:r w:rsidR="00496F75" w:rsidRPr="000233B9">
        <w:rPr>
          <w:lang w:val="fr-FR"/>
        </w:rPr>
        <w:t xml:space="preserve">e </w:t>
      </w:r>
      <w:r w:rsidRPr="000233B9">
        <w:rPr>
          <w:lang w:val="fr-FR"/>
        </w:rPr>
        <w:t>a pour objet de vérifier les connaissances des participants</w:t>
      </w:r>
      <w:r w:rsidR="00496F75" w:rsidRPr="000233B9">
        <w:rPr>
          <w:lang w:val="fr-FR"/>
        </w:rPr>
        <w:t xml:space="preserve"> </w:t>
      </w:r>
      <w:r w:rsidRPr="000233B9">
        <w:rPr>
          <w:lang w:val="fr-FR"/>
        </w:rPr>
        <w:t xml:space="preserve">en ce qui concerne le Règlement </w:t>
      </w:r>
      <w:r w:rsidR="000233B9" w:rsidRPr="000233B9">
        <w:rPr>
          <w:lang w:val="fr-FR"/>
        </w:rPr>
        <w:t xml:space="preserve">Bois </w:t>
      </w:r>
      <w:r w:rsidRPr="000233B9">
        <w:rPr>
          <w:lang w:val="fr-FR"/>
        </w:rPr>
        <w:t>de l’UE.</w:t>
      </w:r>
      <w:r w:rsidR="00496F75" w:rsidRPr="000233B9">
        <w:rPr>
          <w:lang w:val="fr-FR"/>
        </w:rPr>
        <w:t xml:space="preserve"> </w:t>
      </w:r>
      <w:r w:rsidRPr="000233B9">
        <w:rPr>
          <w:lang w:val="fr-FR"/>
        </w:rPr>
        <w:t xml:space="preserve">Veuillez répondre par vrai ou faux (V/F) aux questions </w:t>
      </w:r>
      <w:r w:rsidR="000233B9" w:rsidRPr="000233B9">
        <w:rPr>
          <w:lang w:val="fr-FR"/>
        </w:rPr>
        <w:t xml:space="preserve">suivantes </w:t>
      </w:r>
      <w:r w:rsidRPr="000233B9">
        <w:rPr>
          <w:lang w:val="fr-FR"/>
        </w:rPr>
        <w:t>et</w:t>
      </w:r>
      <w:r w:rsidR="000233B9" w:rsidRPr="000233B9">
        <w:rPr>
          <w:lang w:val="fr-FR"/>
        </w:rPr>
        <w:t>, le cas échéant,</w:t>
      </w:r>
      <w:r w:rsidRPr="000233B9">
        <w:rPr>
          <w:lang w:val="fr-FR"/>
        </w:rPr>
        <w:t xml:space="preserve"> donner les bonnes réponses dans la colonne « Note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29"/>
        <w:gridCol w:w="1076"/>
        <w:gridCol w:w="4971"/>
      </w:tblGrid>
      <w:tr w:rsidR="00496F75" w:rsidRPr="000233B9" w:rsidTr="00506A90">
        <w:trPr>
          <w:tblHeader/>
        </w:trPr>
        <w:tc>
          <w:tcPr>
            <w:tcW w:w="440" w:type="dxa"/>
          </w:tcPr>
          <w:p w:rsidR="00496F75" w:rsidRPr="000233B9" w:rsidRDefault="00496F75" w:rsidP="00506A90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546" w:type="dxa"/>
          </w:tcPr>
          <w:p w:rsidR="00496F75" w:rsidRPr="000233B9" w:rsidRDefault="00496F75" w:rsidP="00506A90">
            <w:pPr>
              <w:rPr>
                <w:b/>
                <w:sz w:val="24"/>
                <w:szCs w:val="24"/>
                <w:lang w:val="fr-FR"/>
              </w:rPr>
            </w:pPr>
            <w:r w:rsidRPr="000233B9">
              <w:rPr>
                <w:b/>
                <w:sz w:val="24"/>
                <w:szCs w:val="24"/>
                <w:lang w:val="fr-FR"/>
              </w:rPr>
              <w:t>Question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b/>
                <w:sz w:val="24"/>
                <w:szCs w:val="24"/>
                <w:lang w:val="fr-FR"/>
              </w:rPr>
            </w:pPr>
            <w:r w:rsidRPr="000233B9">
              <w:rPr>
                <w:b/>
                <w:sz w:val="24"/>
                <w:szCs w:val="24"/>
                <w:lang w:val="fr-FR"/>
              </w:rPr>
              <w:t>Réponse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b/>
                <w:sz w:val="24"/>
                <w:szCs w:val="24"/>
                <w:lang w:val="fr-FR"/>
              </w:rPr>
            </w:pPr>
            <w:r w:rsidRPr="000233B9">
              <w:rPr>
                <w:b/>
                <w:sz w:val="24"/>
                <w:szCs w:val="24"/>
                <w:lang w:val="fr-FR"/>
              </w:rPr>
              <w:t>Note</w:t>
            </w: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1</w:t>
            </w:r>
          </w:p>
        </w:tc>
        <w:tc>
          <w:tcPr>
            <w:tcW w:w="2546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 xml:space="preserve">Le Règlement </w:t>
            </w:r>
            <w:r w:rsidR="000233B9">
              <w:rPr>
                <w:lang w:val="fr-FR"/>
              </w:rPr>
              <w:t xml:space="preserve">Bois </w:t>
            </w:r>
            <w:r w:rsidRPr="000233B9">
              <w:rPr>
                <w:lang w:val="fr-FR"/>
              </w:rPr>
              <w:t>de l’UE ne s’applique qu’aux importateurs de bois.</w:t>
            </w:r>
            <w:r w:rsidR="00496F75" w:rsidRPr="000233B9">
              <w:rPr>
                <w:lang w:val="fr-FR"/>
              </w:rPr>
              <w:t xml:space="preserve"> </w:t>
            </w:r>
          </w:p>
          <w:p w:rsidR="00496F75" w:rsidRPr="000233B9" w:rsidRDefault="00496F75" w:rsidP="00506A90">
            <w:pPr>
              <w:rPr>
                <w:lang w:val="fr-FR"/>
              </w:rPr>
            </w:pPr>
          </w:p>
          <w:p w:rsidR="00496F75" w:rsidRPr="000233B9" w:rsidRDefault="00496F75" w:rsidP="00506A90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2</w:t>
            </w:r>
          </w:p>
        </w:tc>
        <w:tc>
          <w:tcPr>
            <w:tcW w:w="2546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 xml:space="preserve">Le marché de l’UE </w:t>
            </w:r>
            <w:r w:rsidR="007F1999" w:rsidRPr="000233B9">
              <w:rPr>
                <w:lang w:val="fr-FR"/>
              </w:rPr>
              <w:t>est</w:t>
            </w:r>
            <w:r w:rsidRPr="000233B9">
              <w:rPr>
                <w:lang w:val="fr-FR"/>
              </w:rPr>
              <w:t xml:space="preserve"> fermé au bois</w:t>
            </w:r>
            <w:r w:rsidR="000233B9">
              <w:rPr>
                <w:lang w:val="fr-FR"/>
              </w:rPr>
              <w:t xml:space="preserve"> issu d’une récolte illégale</w:t>
            </w:r>
            <w:r w:rsidR="00DE4A95" w:rsidRPr="000233B9">
              <w:rPr>
                <w:lang w:val="fr-FR"/>
              </w:rPr>
              <w:t>.</w:t>
            </w:r>
            <w:r w:rsidR="00496F75" w:rsidRPr="000233B9">
              <w:rPr>
                <w:lang w:val="fr-FR"/>
              </w:rPr>
              <w:t xml:space="preserve"> </w:t>
            </w:r>
          </w:p>
          <w:p w:rsidR="00496F75" w:rsidRPr="000233B9" w:rsidRDefault="00496F75" w:rsidP="00506A90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3</w:t>
            </w:r>
          </w:p>
        </w:tc>
        <w:tc>
          <w:tcPr>
            <w:tcW w:w="2546" w:type="dxa"/>
          </w:tcPr>
          <w:p w:rsidR="00496F75" w:rsidRPr="000233B9" w:rsidRDefault="00DE4A9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Le</w:t>
            </w:r>
            <w:r w:rsidR="00496F75" w:rsidRPr="000233B9">
              <w:rPr>
                <w:lang w:val="fr-FR"/>
              </w:rPr>
              <w:t xml:space="preserve"> </w:t>
            </w:r>
            <w:r w:rsidR="000233B9">
              <w:rPr>
                <w:lang w:val="fr-FR"/>
              </w:rPr>
              <w:t>RB UE</w:t>
            </w:r>
            <w:r w:rsidR="00496F75" w:rsidRPr="000233B9">
              <w:rPr>
                <w:lang w:val="fr-FR"/>
              </w:rPr>
              <w:t xml:space="preserve"> </w:t>
            </w:r>
            <w:r w:rsidRPr="000233B9">
              <w:rPr>
                <w:lang w:val="fr-FR"/>
              </w:rPr>
              <w:t>est entré en vigueur le 3 mars 2013.</w:t>
            </w:r>
            <w:r w:rsidR="00496F75" w:rsidRPr="000233B9">
              <w:rPr>
                <w:lang w:val="fr-FR"/>
              </w:rPr>
              <w:t xml:space="preserve"> </w:t>
            </w:r>
          </w:p>
          <w:p w:rsidR="00496F75" w:rsidRPr="000233B9" w:rsidRDefault="00496F75" w:rsidP="00506A90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4</w:t>
            </w:r>
          </w:p>
        </w:tc>
        <w:tc>
          <w:tcPr>
            <w:tcW w:w="2546" w:type="dxa"/>
          </w:tcPr>
          <w:p w:rsidR="00496F75" w:rsidRPr="000233B9" w:rsidRDefault="00DE4A9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Les commerçants comme les opérateurs sont tenus</w:t>
            </w:r>
            <w:r w:rsidR="00496F75" w:rsidRPr="000233B9">
              <w:rPr>
                <w:lang w:val="fr-FR"/>
              </w:rPr>
              <w:t xml:space="preserve"> </w:t>
            </w:r>
            <w:r w:rsidRPr="000233B9">
              <w:rPr>
                <w:lang w:val="fr-FR"/>
              </w:rPr>
              <w:t xml:space="preserve">d’utiliser un système de diligence </w:t>
            </w:r>
            <w:r w:rsidR="00324350" w:rsidRPr="000233B9">
              <w:rPr>
                <w:lang w:val="fr-FR"/>
              </w:rPr>
              <w:t>raisonnée</w:t>
            </w:r>
            <w:r w:rsidRPr="000233B9">
              <w:rPr>
                <w:lang w:val="fr-FR"/>
              </w:rPr>
              <w:t>.</w:t>
            </w:r>
            <w:r w:rsidR="00496F75" w:rsidRPr="000233B9">
              <w:rPr>
                <w:lang w:val="fr-FR"/>
              </w:rPr>
              <w:t xml:space="preserve"> </w:t>
            </w:r>
          </w:p>
          <w:p w:rsidR="00496F75" w:rsidRPr="000233B9" w:rsidRDefault="00496F75" w:rsidP="00506A90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5</w:t>
            </w:r>
          </w:p>
        </w:tc>
        <w:tc>
          <w:tcPr>
            <w:tcW w:w="2546" w:type="dxa"/>
          </w:tcPr>
          <w:p w:rsidR="00496F75" w:rsidRPr="000233B9" w:rsidRDefault="00DE4A95" w:rsidP="000233B9">
            <w:pPr>
              <w:rPr>
                <w:lang w:val="fr-FR"/>
              </w:rPr>
            </w:pPr>
            <w:r w:rsidRPr="000233B9">
              <w:rPr>
                <w:lang w:val="fr-FR"/>
              </w:rPr>
              <w:t xml:space="preserve">Les produits couverts par une autorisation FLEGT et les produits CITES </w:t>
            </w:r>
            <w:r w:rsidR="00496F75" w:rsidRPr="000233B9">
              <w:rPr>
                <w:lang w:val="fr-FR"/>
              </w:rPr>
              <w:t xml:space="preserve"> </w:t>
            </w:r>
            <w:r w:rsidR="00111AC1" w:rsidRPr="000233B9">
              <w:rPr>
                <w:lang w:val="fr-FR"/>
              </w:rPr>
              <w:t xml:space="preserve">couverts par des permis et des autorisations valides sont légaux au sens </w:t>
            </w:r>
            <w:r w:rsidR="000233B9">
              <w:rPr>
                <w:lang w:val="fr-FR"/>
              </w:rPr>
              <w:t>de la définition donnée</w:t>
            </w:r>
            <w:r w:rsidR="00111AC1" w:rsidRPr="000233B9">
              <w:rPr>
                <w:lang w:val="fr-FR"/>
              </w:rPr>
              <w:t xml:space="preserve"> dans le</w:t>
            </w:r>
            <w:r w:rsidR="00496F75" w:rsidRPr="000233B9">
              <w:rPr>
                <w:lang w:val="fr-FR"/>
              </w:rPr>
              <w:t xml:space="preserve"> </w:t>
            </w:r>
            <w:r w:rsidR="000233B9">
              <w:rPr>
                <w:lang w:val="fr-FR"/>
              </w:rPr>
              <w:t xml:space="preserve">RB UE. 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6</w:t>
            </w:r>
          </w:p>
        </w:tc>
        <w:tc>
          <w:tcPr>
            <w:tcW w:w="2546" w:type="dxa"/>
          </w:tcPr>
          <w:p w:rsidR="00496F75" w:rsidRPr="000233B9" w:rsidRDefault="00111AC1" w:rsidP="00111AC1">
            <w:pPr>
              <w:rPr>
                <w:lang w:val="fr-FR"/>
              </w:rPr>
            </w:pPr>
            <w:r w:rsidRPr="000233B9">
              <w:rPr>
                <w:lang w:val="fr-FR"/>
              </w:rPr>
              <w:t xml:space="preserve">Les opérateurs vendant des produits certifiés ne sont pas tenus d’appliquer un système de diligence </w:t>
            </w:r>
            <w:r w:rsidR="00324350" w:rsidRPr="000233B9">
              <w:rPr>
                <w:lang w:val="fr-FR"/>
              </w:rPr>
              <w:t>raisonnée</w:t>
            </w:r>
            <w:r w:rsidRPr="000233B9">
              <w:rPr>
                <w:lang w:val="fr-FR"/>
              </w:rPr>
              <w:t>.</w:t>
            </w:r>
            <w:r w:rsidR="00496F75" w:rsidRPr="000233B9">
              <w:rPr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7</w:t>
            </w:r>
          </w:p>
        </w:tc>
        <w:tc>
          <w:tcPr>
            <w:tcW w:w="2546" w:type="dxa"/>
          </w:tcPr>
          <w:p w:rsidR="00496F75" w:rsidRPr="000233B9" w:rsidRDefault="00020FD3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 xml:space="preserve">Les </w:t>
            </w:r>
            <w:r w:rsidR="000335AE">
              <w:rPr>
                <w:lang w:val="fr-FR"/>
              </w:rPr>
              <w:t>produits de l’édition</w:t>
            </w:r>
            <w:r w:rsidRPr="000233B9">
              <w:rPr>
                <w:lang w:val="fr-FR"/>
              </w:rPr>
              <w:t xml:space="preserve"> et les </w:t>
            </w:r>
            <w:r w:rsidR="000335AE">
              <w:rPr>
                <w:lang w:val="fr-FR"/>
              </w:rPr>
              <w:t>produits</w:t>
            </w:r>
            <w:r w:rsidRPr="000233B9">
              <w:rPr>
                <w:lang w:val="fr-FR"/>
              </w:rPr>
              <w:t xml:space="preserve"> recyclés ne sont pas soumis au</w:t>
            </w:r>
            <w:r w:rsidR="00496F75" w:rsidRPr="000233B9">
              <w:rPr>
                <w:lang w:val="fr-FR"/>
              </w:rPr>
              <w:t xml:space="preserve"> </w:t>
            </w:r>
            <w:r w:rsidR="000335AE">
              <w:rPr>
                <w:lang w:val="fr-FR"/>
              </w:rPr>
              <w:t>RB UE</w:t>
            </w:r>
            <w:r w:rsidRPr="000233B9">
              <w:rPr>
                <w:lang w:val="fr-FR"/>
              </w:rPr>
              <w:t>.</w:t>
            </w:r>
          </w:p>
          <w:p w:rsidR="00496F75" w:rsidRPr="000233B9" w:rsidRDefault="00496F75" w:rsidP="00506A90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lastRenderedPageBreak/>
              <w:t>8</w:t>
            </w:r>
          </w:p>
        </w:tc>
        <w:tc>
          <w:tcPr>
            <w:tcW w:w="2546" w:type="dxa"/>
          </w:tcPr>
          <w:p w:rsidR="00496F75" w:rsidRPr="000233B9" w:rsidRDefault="00020FD3" w:rsidP="00020FD3">
            <w:pPr>
              <w:rPr>
                <w:lang w:val="fr-FR"/>
              </w:rPr>
            </w:pPr>
            <w:r w:rsidRPr="000233B9">
              <w:rPr>
                <w:lang w:val="fr-FR"/>
              </w:rPr>
              <w:t>Les organisations de contrôle doivent être reconnues par l’autorité compétente de l’État membre.</w:t>
            </w:r>
            <w:r w:rsidR="00496F75" w:rsidRPr="000233B9">
              <w:rPr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9</w:t>
            </w:r>
          </w:p>
        </w:tc>
        <w:tc>
          <w:tcPr>
            <w:tcW w:w="2546" w:type="dxa"/>
          </w:tcPr>
          <w:p w:rsidR="00496F75" w:rsidRPr="000233B9" w:rsidRDefault="00020FD3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Les matériaux d’emballage</w:t>
            </w:r>
            <w:r w:rsidR="00496F75" w:rsidRPr="000233B9">
              <w:rPr>
                <w:lang w:val="fr-FR"/>
              </w:rPr>
              <w:t xml:space="preserve"> </w:t>
            </w:r>
            <w:r w:rsidRPr="000233B9">
              <w:rPr>
                <w:lang w:val="fr-FR"/>
              </w:rPr>
              <w:t>ne sont pas soumis au</w:t>
            </w:r>
            <w:r w:rsidR="00496F75" w:rsidRPr="000233B9">
              <w:rPr>
                <w:lang w:val="fr-FR"/>
              </w:rPr>
              <w:t xml:space="preserve"> </w:t>
            </w:r>
            <w:r w:rsidR="000335AE">
              <w:rPr>
                <w:lang w:val="fr-FR"/>
              </w:rPr>
              <w:t>RB UE</w:t>
            </w:r>
            <w:r w:rsidR="00227360" w:rsidRPr="000233B9">
              <w:rPr>
                <w:lang w:val="fr-FR"/>
              </w:rPr>
              <w:t>.</w:t>
            </w:r>
          </w:p>
          <w:p w:rsidR="00496F75" w:rsidRPr="000233B9" w:rsidRDefault="00496F75" w:rsidP="00506A90">
            <w:pPr>
              <w:rPr>
                <w:lang w:val="fr-FR"/>
              </w:rPr>
            </w:pP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10</w:t>
            </w:r>
          </w:p>
        </w:tc>
        <w:tc>
          <w:tcPr>
            <w:tcW w:w="2546" w:type="dxa"/>
          </w:tcPr>
          <w:p w:rsidR="00496F75" w:rsidRPr="000233B9" w:rsidRDefault="00020FD3" w:rsidP="000335AE">
            <w:pPr>
              <w:rPr>
                <w:lang w:val="fr-FR"/>
              </w:rPr>
            </w:pPr>
            <w:r w:rsidRPr="000233B9">
              <w:rPr>
                <w:lang w:val="fr-FR"/>
              </w:rPr>
              <w:t>Le</w:t>
            </w:r>
            <w:r w:rsidR="00496F75" w:rsidRPr="000233B9">
              <w:rPr>
                <w:lang w:val="fr-FR"/>
              </w:rPr>
              <w:t xml:space="preserve"> </w:t>
            </w:r>
            <w:r w:rsidR="000335AE">
              <w:rPr>
                <w:lang w:val="fr-FR"/>
              </w:rPr>
              <w:t>RB UE</w:t>
            </w:r>
            <w:r w:rsidR="00496F75" w:rsidRPr="000233B9">
              <w:rPr>
                <w:lang w:val="fr-FR"/>
              </w:rPr>
              <w:t xml:space="preserve"> </w:t>
            </w:r>
            <w:r w:rsidRPr="000233B9">
              <w:rPr>
                <w:lang w:val="fr-FR"/>
              </w:rPr>
              <w:t xml:space="preserve">ne s’applique qu’au bois et </w:t>
            </w:r>
            <w:r w:rsidR="003F1BCE" w:rsidRPr="000233B9">
              <w:rPr>
                <w:lang w:val="fr-FR"/>
              </w:rPr>
              <w:t xml:space="preserve">aux produits dérivés récolté ou fabriqués </w:t>
            </w:r>
            <w:r w:rsidR="00227360" w:rsidRPr="000233B9">
              <w:rPr>
                <w:lang w:val="fr-FR"/>
              </w:rPr>
              <w:t>dans</w:t>
            </w:r>
            <w:r w:rsidR="003F1BCE" w:rsidRPr="000233B9">
              <w:rPr>
                <w:lang w:val="fr-FR"/>
              </w:rPr>
              <w:t xml:space="preserve"> l’UE.</w:t>
            </w:r>
            <w:r w:rsidR="00496F75" w:rsidRPr="000233B9">
              <w:rPr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11</w:t>
            </w:r>
          </w:p>
        </w:tc>
        <w:tc>
          <w:tcPr>
            <w:tcW w:w="2546" w:type="dxa"/>
          </w:tcPr>
          <w:p w:rsidR="00496F75" w:rsidRPr="000233B9" w:rsidRDefault="003F1BCE" w:rsidP="003F1BCE">
            <w:pPr>
              <w:rPr>
                <w:lang w:val="fr-FR"/>
              </w:rPr>
            </w:pPr>
            <w:r w:rsidRPr="000233B9">
              <w:rPr>
                <w:lang w:val="fr-FR"/>
              </w:rPr>
              <w:t xml:space="preserve">Les opérateurs doivent utiliser un système de diligence </w:t>
            </w:r>
            <w:r w:rsidR="00324350" w:rsidRPr="000233B9">
              <w:rPr>
                <w:lang w:val="fr-FR"/>
              </w:rPr>
              <w:t>raisonnée</w:t>
            </w:r>
            <w:r w:rsidRPr="000233B9">
              <w:rPr>
                <w:lang w:val="fr-FR"/>
              </w:rPr>
              <w:t xml:space="preserve"> élaboré par des organisations de contrôle.</w:t>
            </w:r>
            <w:r w:rsidR="00496F75" w:rsidRPr="000233B9">
              <w:rPr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12</w:t>
            </w:r>
          </w:p>
        </w:tc>
        <w:tc>
          <w:tcPr>
            <w:tcW w:w="2546" w:type="dxa"/>
          </w:tcPr>
          <w:p w:rsidR="00496F75" w:rsidRPr="000233B9" w:rsidRDefault="003F1BCE" w:rsidP="000335AE">
            <w:pPr>
              <w:rPr>
                <w:lang w:val="fr-FR"/>
              </w:rPr>
            </w:pPr>
            <w:r w:rsidRPr="000233B9">
              <w:rPr>
                <w:lang w:val="fr-FR"/>
              </w:rPr>
              <w:t>L’autorité compétente</w:t>
            </w:r>
            <w:r w:rsidR="00496F75" w:rsidRPr="000233B9">
              <w:rPr>
                <w:lang w:val="fr-FR"/>
              </w:rPr>
              <w:t xml:space="preserve"> </w:t>
            </w:r>
            <w:r w:rsidR="00093147" w:rsidRPr="000233B9">
              <w:rPr>
                <w:lang w:val="fr-FR"/>
              </w:rPr>
              <w:t xml:space="preserve">doit </w:t>
            </w:r>
            <w:r w:rsidR="000335AE">
              <w:rPr>
                <w:lang w:val="fr-FR"/>
              </w:rPr>
              <w:t>contrôler</w:t>
            </w:r>
            <w:r w:rsidR="00093147" w:rsidRPr="000233B9">
              <w:rPr>
                <w:lang w:val="fr-FR"/>
              </w:rPr>
              <w:t xml:space="preserve"> les organisations de contrôle au moins une fois</w:t>
            </w:r>
            <w:r w:rsidR="00496F75" w:rsidRPr="000233B9">
              <w:rPr>
                <w:lang w:val="fr-FR"/>
              </w:rPr>
              <w:t xml:space="preserve"> </w:t>
            </w:r>
            <w:r w:rsidR="00093147" w:rsidRPr="000233B9">
              <w:rPr>
                <w:lang w:val="fr-FR"/>
              </w:rPr>
              <w:t>tous les deux ans.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  <w:tr w:rsidR="00496F75" w:rsidRPr="000233B9" w:rsidTr="00506A90">
        <w:tc>
          <w:tcPr>
            <w:tcW w:w="440" w:type="dxa"/>
          </w:tcPr>
          <w:p w:rsidR="00496F75" w:rsidRPr="000233B9" w:rsidRDefault="00496F75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13</w:t>
            </w:r>
          </w:p>
        </w:tc>
        <w:tc>
          <w:tcPr>
            <w:tcW w:w="2546" w:type="dxa"/>
          </w:tcPr>
          <w:p w:rsidR="00496F75" w:rsidRPr="000233B9" w:rsidRDefault="00093147" w:rsidP="0099328A">
            <w:pPr>
              <w:rPr>
                <w:lang w:val="fr-FR"/>
              </w:rPr>
            </w:pPr>
            <w:r w:rsidRPr="000233B9">
              <w:rPr>
                <w:lang w:val="fr-FR"/>
              </w:rPr>
              <w:t>La Commission européenne</w:t>
            </w:r>
            <w:r w:rsidR="00496F75" w:rsidRPr="000233B9">
              <w:rPr>
                <w:lang w:val="fr-FR"/>
              </w:rPr>
              <w:t xml:space="preserve"> </w:t>
            </w:r>
            <w:r w:rsidR="0099328A">
              <w:rPr>
                <w:lang w:val="fr-FR"/>
              </w:rPr>
              <w:t>détermine les</w:t>
            </w:r>
            <w:r w:rsidRPr="000233B9">
              <w:rPr>
                <w:lang w:val="fr-FR"/>
              </w:rPr>
              <w:t xml:space="preserve"> sanctions pour tous les États membres de l’UE.</w:t>
            </w:r>
            <w:r w:rsidR="00496F75" w:rsidRPr="000233B9">
              <w:rPr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496F75" w:rsidRPr="000233B9" w:rsidRDefault="00877B49" w:rsidP="00506A90">
            <w:pPr>
              <w:rPr>
                <w:lang w:val="fr-FR"/>
              </w:rPr>
            </w:pPr>
            <w:r w:rsidRPr="000233B9">
              <w:rPr>
                <w:lang w:val="fr-FR"/>
              </w:rPr>
              <w:t>V/F</w:t>
            </w:r>
          </w:p>
        </w:tc>
        <w:tc>
          <w:tcPr>
            <w:tcW w:w="5038" w:type="dxa"/>
          </w:tcPr>
          <w:p w:rsidR="00496F75" w:rsidRPr="000233B9" w:rsidRDefault="00496F75" w:rsidP="00506A90">
            <w:pPr>
              <w:rPr>
                <w:lang w:val="fr-FR"/>
              </w:rPr>
            </w:pPr>
          </w:p>
        </w:tc>
      </w:tr>
    </w:tbl>
    <w:p w:rsidR="00496F75" w:rsidRPr="000233B9" w:rsidRDefault="00496F75" w:rsidP="00496F75">
      <w:pPr>
        <w:rPr>
          <w:lang w:val="fr-FR"/>
        </w:rPr>
      </w:pPr>
    </w:p>
    <w:p w:rsidR="00DC5EFE" w:rsidRPr="000233B9" w:rsidRDefault="00DC5EFE" w:rsidP="00DC5EFE">
      <w:pPr>
        <w:rPr>
          <w:lang w:val="fr-FR"/>
        </w:rPr>
      </w:pPr>
    </w:p>
    <w:p w:rsidR="00DC5EFE" w:rsidRPr="000233B9" w:rsidRDefault="00DC5EFE" w:rsidP="00DC5EFE">
      <w:pPr>
        <w:rPr>
          <w:lang w:val="fr-FR"/>
        </w:rPr>
      </w:pPr>
    </w:p>
    <w:p w:rsidR="00DC5EFE" w:rsidRPr="000233B9" w:rsidRDefault="00DC5EFE" w:rsidP="00DC5EFE">
      <w:pPr>
        <w:rPr>
          <w:lang w:val="fr-FR"/>
        </w:rPr>
      </w:pPr>
    </w:p>
    <w:sectPr w:rsidR="00DC5EFE" w:rsidRPr="000233B9" w:rsidSect="00496F75">
      <w:headerReference w:type="default" r:id="rId9"/>
      <w:headerReference w:type="first" r:id="rId10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BFD" w:rsidRDefault="00FB0BFD" w:rsidP="00375F55">
      <w:pPr>
        <w:spacing w:after="0" w:line="240" w:lineRule="auto"/>
      </w:pPr>
      <w:r>
        <w:separator/>
      </w:r>
    </w:p>
  </w:endnote>
  <w:endnote w:type="continuationSeparator" w:id="0">
    <w:p w:rsidR="00FB0BFD" w:rsidRDefault="00FB0BFD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BFD" w:rsidRDefault="00FB0BFD" w:rsidP="00375F55">
      <w:pPr>
        <w:spacing w:after="0" w:line="240" w:lineRule="auto"/>
      </w:pPr>
      <w:r>
        <w:separator/>
      </w:r>
    </w:p>
  </w:footnote>
  <w:footnote w:type="continuationSeparator" w:id="0">
    <w:p w:rsidR="00FB0BFD" w:rsidRDefault="00FB0BFD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20FD3"/>
    <w:rsid w:val="000233B9"/>
    <w:rsid w:val="000335AE"/>
    <w:rsid w:val="00093147"/>
    <w:rsid w:val="00111AC1"/>
    <w:rsid w:val="00133AE5"/>
    <w:rsid w:val="0017084A"/>
    <w:rsid w:val="00227360"/>
    <w:rsid w:val="002A5DFA"/>
    <w:rsid w:val="00324350"/>
    <w:rsid w:val="00364C50"/>
    <w:rsid w:val="00375F55"/>
    <w:rsid w:val="003C757A"/>
    <w:rsid w:val="003F1BCE"/>
    <w:rsid w:val="00452ADB"/>
    <w:rsid w:val="004531F3"/>
    <w:rsid w:val="00496F75"/>
    <w:rsid w:val="004B0004"/>
    <w:rsid w:val="004C17C2"/>
    <w:rsid w:val="004F0C24"/>
    <w:rsid w:val="00563F77"/>
    <w:rsid w:val="006009A0"/>
    <w:rsid w:val="007D04CA"/>
    <w:rsid w:val="007F1999"/>
    <w:rsid w:val="00814594"/>
    <w:rsid w:val="00877B49"/>
    <w:rsid w:val="0099328A"/>
    <w:rsid w:val="00C00EC1"/>
    <w:rsid w:val="00C3749C"/>
    <w:rsid w:val="00DC5EFE"/>
    <w:rsid w:val="00DE4A95"/>
    <w:rsid w:val="00F32816"/>
    <w:rsid w:val="00FB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302DA0-E1F0-4FA8-B330-806DD5EA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9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Textedebulles">
    <w:name w:val="Balloon Text"/>
    <w:basedOn w:val="Normal"/>
    <w:link w:val="TextedebullesCar"/>
    <w:uiPriority w:val="99"/>
    <w:semiHidden/>
    <w:unhideWhenUsed/>
    <w:rsid w:val="0087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1368</Characters>
  <Application>Microsoft Office Word</Application>
  <DocSecurity>0</DocSecurity>
  <Lines>115</Lines>
  <Paragraphs>45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Lam</dc:creator>
  <cp:keywords/>
  <dc:description/>
  <cp:lastModifiedBy>Thimson International</cp:lastModifiedBy>
  <cp:revision>3</cp:revision>
  <dcterms:created xsi:type="dcterms:W3CDTF">2014-11-12T11:35:00Z</dcterms:created>
  <dcterms:modified xsi:type="dcterms:W3CDTF">2014-11-12T11:36:00Z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